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附件3：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年新墙材企业生产经营情况统计表</w:t>
      </w:r>
    </w:p>
    <w:tbl>
      <w:tblPr>
        <w:tblStyle w:val="6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51"/>
        <w:gridCol w:w="1353"/>
        <w:gridCol w:w="900"/>
        <w:gridCol w:w="795"/>
        <w:gridCol w:w="450"/>
        <w:gridCol w:w="612"/>
        <w:gridCol w:w="1134"/>
        <w:gridCol w:w="147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企业名称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（盖章）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生产地址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职工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总人数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企业负责人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高级职称（名）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中级职称（名）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现有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检测员持证上岗人员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（名）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检测员上岗证需求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（名）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行业培训需求（请“</w:t>
            </w:r>
            <w:r>
              <w:rPr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”选）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技术类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□交通运输类   □安全生产类    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财税类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经营风险管理类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生产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4961" w:type="dxa"/>
            <w:gridSpan w:val="6"/>
            <w:vMerge w:val="restart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1、企业产品名称：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                 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2、年产能力：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（□万m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 xml:space="preserve">3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□万 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□万块）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年实际生产量：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ind w:firstLine="315" w:firstLineChars="150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年外地企业供应珠海市场数量：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纳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税（万元）：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同期上涨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（%）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961" w:type="dxa"/>
            <w:gridSpan w:val="6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年预计销量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（□万m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□万m</w:t>
            </w:r>
            <w:r>
              <w:rPr>
                <w:rFonts w:hint="eastAsia" w:cs="宋体" w:asciiTheme="minorEastAsia" w:hAnsiTheme="minor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□万块）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经济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年末债权合计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年末债务合计 （万元）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全年被拖欠款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历年累计被拖欠款（万元）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回款率（%）</w:t>
            </w:r>
          </w:p>
        </w:tc>
        <w:tc>
          <w:tcPr>
            <w:tcW w:w="1353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全年承接工程签订合同数量（份）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企业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资金需求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1782" w:type="dxa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设备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1、生产线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条</w:t>
            </w: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2、运输车数量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辆（自有：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辆， 租赁：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场地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土地性质：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工业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临时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其他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情况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申请绿色建材产品认证：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否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Cs w:val="21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3</w:t>
            </w:r>
            <w:r>
              <w:rPr>
                <w:rFonts w:ascii="宋体" w:hAnsi="宋体" w:cs="仿宋_GB2312"/>
                <w:szCs w:val="21"/>
              </w:rPr>
              <w:t>年</w:t>
            </w:r>
            <w:r>
              <w:rPr>
                <w:rFonts w:hint="eastAsia" w:ascii="宋体" w:hAnsi="宋体" w:cs="仿宋_GB2312"/>
                <w:szCs w:val="21"/>
              </w:rPr>
              <w:t>参与社会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公益</w:t>
            </w:r>
            <w:r>
              <w:rPr>
                <w:rFonts w:hint="eastAsia" w:ascii="宋体" w:hAnsi="宋体" w:cs="仿宋_GB2312"/>
                <w:szCs w:val="21"/>
              </w:rPr>
              <w:t>捐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赠</w:t>
            </w:r>
            <w:r>
              <w:rPr>
                <w:rFonts w:hint="eastAsia" w:ascii="宋体" w:hAnsi="宋体" w:cs="仿宋_GB2312"/>
                <w:szCs w:val="21"/>
              </w:rPr>
              <w:t>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0.5-1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以下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（2）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（3）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对协会下一步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工作意见或建议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（可另附页）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填报人：                                                       联系电话：  </w:t>
      </w:r>
    </w:p>
    <w:sectPr>
      <w:footerReference r:id="rId3" w:type="default"/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2742518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  <w:lang w:val="en-US" w:eastAsia="zh-CN"/>
          </w:rPr>
          <w:t>5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Nzg3NGRmZjM3MzE2MTRjZTgyNmY4MmE4OTA0YzYifQ=="/>
  </w:docVars>
  <w:rsids>
    <w:rsidRoot w:val="002A19B2"/>
    <w:rsid w:val="000517B9"/>
    <w:rsid w:val="00070951"/>
    <w:rsid w:val="00087500"/>
    <w:rsid w:val="00113A8E"/>
    <w:rsid w:val="001204A1"/>
    <w:rsid w:val="001645E6"/>
    <w:rsid w:val="001955DD"/>
    <w:rsid w:val="001B75C5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936C3"/>
    <w:rsid w:val="00293918"/>
    <w:rsid w:val="002A19B2"/>
    <w:rsid w:val="002A41CA"/>
    <w:rsid w:val="002B1A7B"/>
    <w:rsid w:val="002B7B28"/>
    <w:rsid w:val="002C4463"/>
    <w:rsid w:val="002D4984"/>
    <w:rsid w:val="003464D9"/>
    <w:rsid w:val="003676EF"/>
    <w:rsid w:val="003936A2"/>
    <w:rsid w:val="003A4B41"/>
    <w:rsid w:val="003D5E8A"/>
    <w:rsid w:val="00405AB5"/>
    <w:rsid w:val="004221DA"/>
    <w:rsid w:val="004C4395"/>
    <w:rsid w:val="005325F5"/>
    <w:rsid w:val="005C4671"/>
    <w:rsid w:val="005C602E"/>
    <w:rsid w:val="005E37F9"/>
    <w:rsid w:val="005F0AD8"/>
    <w:rsid w:val="006D2BB9"/>
    <w:rsid w:val="006D31B5"/>
    <w:rsid w:val="006E3618"/>
    <w:rsid w:val="007057D3"/>
    <w:rsid w:val="00712CB6"/>
    <w:rsid w:val="00727428"/>
    <w:rsid w:val="00736147"/>
    <w:rsid w:val="007574C5"/>
    <w:rsid w:val="007664EE"/>
    <w:rsid w:val="007C3D9E"/>
    <w:rsid w:val="007D5230"/>
    <w:rsid w:val="008126E9"/>
    <w:rsid w:val="00842AD2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D5E13"/>
    <w:rsid w:val="00A307CB"/>
    <w:rsid w:val="00A74D0A"/>
    <w:rsid w:val="00AB38F6"/>
    <w:rsid w:val="00AE44BD"/>
    <w:rsid w:val="00AF7A36"/>
    <w:rsid w:val="00B1432B"/>
    <w:rsid w:val="00B22787"/>
    <w:rsid w:val="00B3602E"/>
    <w:rsid w:val="00BE4F64"/>
    <w:rsid w:val="00C34179"/>
    <w:rsid w:val="00C5291B"/>
    <w:rsid w:val="00C63036"/>
    <w:rsid w:val="00CA4F0A"/>
    <w:rsid w:val="00D21C1E"/>
    <w:rsid w:val="00D45A22"/>
    <w:rsid w:val="00D5488F"/>
    <w:rsid w:val="00D54AEA"/>
    <w:rsid w:val="00D94C97"/>
    <w:rsid w:val="00DB3C7D"/>
    <w:rsid w:val="00DC0E05"/>
    <w:rsid w:val="00E12AE6"/>
    <w:rsid w:val="00E64C15"/>
    <w:rsid w:val="00E9271E"/>
    <w:rsid w:val="00E95D12"/>
    <w:rsid w:val="00EE2A5E"/>
    <w:rsid w:val="00EF3980"/>
    <w:rsid w:val="00EF5808"/>
    <w:rsid w:val="00F01F43"/>
    <w:rsid w:val="00F23B8E"/>
    <w:rsid w:val="00F35A20"/>
    <w:rsid w:val="00F547E4"/>
    <w:rsid w:val="00F82EE0"/>
    <w:rsid w:val="00F87403"/>
    <w:rsid w:val="00FD45CD"/>
    <w:rsid w:val="00FE31D4"/>
    <w:rsid w:val="0C517711"/>
    <w:rsid w:val="0E9E5737"/>
    <w:rsid w:val="13427DB4"/>
    <w:rsid w:val="138826D5"/>
    <w:rsid w:val="16426DC1"/>
    <w:rsid w:val="18D30230"/>
    <w:rsid w:val="1A5605E9"/>
    <w:rsid w:val="1B263C58"/>
    <w:rsid w:val="1B397375"/>
    <w:rsid w:val="1BD139B4"/>
    <w:rsid w:val="1EE2069D"/>
    <w:rsid w:val="1F4E188E"/>
    <w:rsid w:val="25721D98"/>
    <w:rsid w:val="25FE400E"/>
    <w:rsid w:val="2A384A0B"/>
    <w:rsid w:val="2A7D077F"/>
    <w:rsid w:val="2ACE044E"/>
    <w:rsid w:val="2F953014"/>
    <w:rsid w:val="317A6D0F"/>
    <w:rsid w:val="331E4555"/>
    <w:rsid w:val="3501703C"/>
    <w:rsid w:val="36C83732"/>
    <w:rsid w:val="38054A2E"/>
    <w:rsid w:val="39276F80"/>
    <w:rsid w:val="3D657D0C"/>
    <w:rsid w:val="41CA42AE"/>
    <w:rsid w:val="42502AA6"/>
    <w:rsid w:val="42C7583E"/>
    <w:rsid w:val="467F6261"/>
    <w:rsid w:val="47064679"/>
    <w:rsid w:val="47E726FC"/>
    <w:rsid w:val="4AC42881"/>
    <w:rsid w:val="4F5A1A06"/>
    <w:rsid w:val="54102BEF"/>
    <w:rsid w:val="570F757A"/>
    <w:rsid w:val="586C4558"/>
    <w:rsid w:val="597638E0"/>
    <w:rsid w:val="5BFB6F55"/>
    <w:rsid w:val="5C8B76A2"/>
    <w:rsid w:val="5E323B4E"/>
    <w:rsid w:val="60515692"/>
    <w:rsid w:val="61AD1E69"/>
    <w:rsid w:val="62BF00A6"/>
    <w:rsid w:val="66DB496E"/>
    <w:rsid w:val="691C749E"/>
    <w:rsid w:val="6AD00976"/>
    <w:rsid w:val="73333C07"/>
    <w:rsid w:val="77D23F80"/>
    <w:rsid w:val="77E04DF9"/>
    <w:rsid w:val="7EC12119"/>
    <w:rsid w:val="7F0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2403</Words>
  <Characters>2582</Characters>
  <Lines>27</Lines>
  <Paragraphs>7</Paragraphs>
  <TotalTime>166</TotalTime>
  <ScaleCrop>false</ScaleCrop>
  <LinksUpToDate>false</LinksUpToDate>
  <CharactersWithSpaces>3916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2021-12-30T08:03:00Z</dcterms:created>
  <dc:creator>微软用户</dc:creator>
  <cp:lastModifiedBy>Administrator</cp:lastModifiedBy>
  <cp:lastPrinted>2021-12-31T07:09:00Z</cp:lastPrinted>
  <dcterms:modified xsi:type="dcterms:W3CDTF">2023-12-27T08:57:10Z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081D0D0E1ED643E19402B4EB2A6B87BA</vt:lpwstr>
  </property>
</Properties>
</file>